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346FA448" w:rsidR="0090696E" w:rsidRPr="00F80A6E" w:rsidRDefault="00DB7A9E" w:rsidP="00F70C33">
      <w:pPr>
        <w:jc w:val="center"/>
        <w:rPr>
          <w:rFonts w:ascii="Times New Roman" w:hAnsi="Times New Roman" w:cs="Times New Roman"/>
          <w:b/>
          <w:bCs/>
          <w:kern w:val="0"/>
          <w14:ligatures w14:val="none"/>
        </w:rPr>
      </w:pPr>
      <w:r w:rsidRPr="00DB7A9E">
        <w:rPr>
          <w:rFonts w:ascii="Times New Roman" w:hAnsi="Times New Roman" w:cs="Times New Roman"/>
          <w:b/>
          <w:bCs/>
          <w:kern w:val="0"/>
          <w14:ligatures w14:val="none"/>
        </w:rPr>
        <w:t>Disputes Prevention &amp; Resolution</w:t>
      </w:r>
    </w:p>
    <w:p w14:paraId="3F2548AC" w14:textId="5711FD8A"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 xml:space="preserve">The executive summary for </w:t>
      </w:r>
      <w:r w:rsidR="004B4193">
        <w:rPr>
          <w:rFonts w:ascii="Times New Roman" w:hAnsi="Times New Roman" w:cs="Times New Roman"/>
          <w:kern w:val="0"/>
          <w14:ligatures w14:val="none"/>
        </w:rPr>
        <w:t>“</w:t>
      </w:r>
      <w:r w:rsidRPr="005F6B8F">
        <w:rPr>
          <w:rFonts w:ascii="Times New Roman" w:eastAsia="Times New Roman" w:hAnsi="Times New Roman" w:cs="Times New Roman"/>
          <w:kern w:val="0"/>
          <w14:ligatures w14:val="none"/>
        </w:rPr>
        <w:t>Disputes Prevention &amp; Resolution</w:t>
      </w:r>
      <w:r w:rsidR="004B4193">
        <w:rPr>
          <w:rFonts w:ascii="Times New Roman" w:hAnsi="Times New Roman" w:cs="Times New Roman"/>
          <w:kern w:val="0"/>
          <w14:ligatures w14:val="none"/>
        </w:rPr>
        <w:t>”</w:t>
      </w:r>
      <w:r w:rsidRPr="005F6B8F">
        <w:rPr>
          <w:rFonts w:ascii="Times New Roman" w:eastAsia="Times New Roman" w:hAnsi="Times New Roman" w:cs="Times New Roman"/>
          <w:kern w:val="0"/>
          <w14:ligatures w14:val="none"/>
        </w:rPr>
        <w:t xml:space="preserve"> synthesizes the key insights and findings from the provided research, highlighting best practices, tools, and frameworks to minimize disputes in the construction industry.</w:t>
      </w:r>
    </w:p>
    <w:p w14:paraId="1461C6FA" w14:textId="6CD943EE"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Effective dispute prevention and resolution in construction require addressing three core causes: project uncertainty, process inefficiencies, and interpersonal conflicts. Failure to mitigate these leads to costly, time-consuming litigation. Preventive measures should prioritize on-site resolution through timely interventions by project personnel, supported by robust training in negotiation and conflict resolution skills (</w:t>
      </w:r>
      <w:hyperlink r:id="rId7" w:history="1">
        <w:r w:rsidRPr="00F25B14">
          <w:rPr>
            <w:rStyle w:val="Hyperlink"/>
            <w:rFonts w:ascii="Times New Roman" w:eastAsia="Times New Roman" w:hAnsi="Times New Roman" w:cs="Times New Roman"/>
            <w:kern w:val="0"/>
            <w14:ligatures w14:val="none"/>
          </w:rPr>
          <w:t>RS23-1</w:t>
        </w:r>
      </w:hyperlink>
      <w:r w:rsidRPr="005F6B8F">
        <w:rPr>
          <w:rFonts w:ascii="Times New Roman" w:eastAsia="Times New Roman" w:hAnsi="Times New Roman" w:cs="Times New Roman"/>
          <w:kern w:val="0"/>
          <w14:ligatures w14:val="none"/>
        </w:rPr>
        <w:t>). The inclusion of Dispute Review Boards (DRBs) and transparent communication among stakeholders further enhances proactive resolution approaches (</w:t>
      </w:r>
      <w:hyperlink r:id="rId8" w:history="1">
        <w:r w:rsidRPr="00F25B14">
          <w:rPr>
            <w:rStyle w:val="Hyperlink"/>
            <w:rFonts w:ascii="Times New Roman" w:eastAsia="Times New Roman" w:hAnsi="Times New Roman" w:cs="Times New Roman"/>
            <w:kern w:val="0"/>
            <w14:ligatures w14:val="none"/>
          </w:rPr>
          <w:t>SD-95</w:t>
        </w:r>
      </w:hyperlink>
      <w:r w:rsidRPr="005F6B8F">
        <w:rPr>
          <w:rFonts w:ascii="Times New Roman" w:eastAsia="Times New Roman" w:hAnsi="Times New Roman" w:cs="Times New Roman"/>
          <w:kern w:val="0"/>
          <w14:ligatures w14:val="none"/>
        </w:rPr>
        <w:t>).</w:t>
      </w:r>
    </w:p>
    <w:p w14:paraId="061B2C28" w14:textId="03A3F144"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DRBs have been particularly successful, emphasizing early, on-site resolution facilitated by neutral experts. Their informal, trust-based nature aligns with partnering principles, ensuring disputes are addressed collaboratively and efficiently without escalation to litigation (</w:t>
      </w:r>
      <w:hyperlink r:id="rId9" w:history="1">
        <w:r w:rsidR="00F25B14" w:rsidRPr="00F25B14">
          <w:rPr>
            <w:rStyle w:val="Hyperlink"/>
            <w:rFonts w:ascii="Times New Roman" w:eastAsia="Times New Roman" w:hAnsi="Times New Roman" w:cs="Times New Roman"/>
            <w:kern w:val="0"/>
            <w14:ligatures w14:val="none"/>
          </w:rPr>
          <w:t>SD-95</w:t>
        </w:r>
      </w:hyperlink>
      <w:r w:rsidRPr="005F6B8F">
        <w:rPr>
          <w:rFonts w:ascii="Times New Roman" w:eastAsia="Times New Roman" w:hAnsi="Times New Roman" w:cs="Times New Roman"/>
          <w:kern w:val="0"/>
          <w14:ligatures w14:val="none"/>
        </w:rPr>
        <w:t>). Owners are pivotal in implementing these systems, with success contingent on their leadership in initiating and maintaining preventive measures (</w:t>
      </w:r>
      <w:hyperlink r:id="rId10" w:history="1">
        <w:r w:rsidR="00F25B14" w:rsidRPr="00F25B14">
          <w:rPr>
            <w:rStyle w:val="Hyperlink"/>
            <w:rFonts w:ascii="Times New Roman" w:eastAsia="Times New Roman" w:hAnsi="Times New Roman" w:cs="Times New Roman"/>
            <w:kern w:val="0"/>
            <w14:ligatures w14:val="none"/>
          </w:rPr>
          <w:t>SD-95</w:t>
        </w:r>
      </w:hyperlink>
      <w:r w:rsidRPr="005F6B8F">
        <w:rPr>
          <w:rFonts w:ascii="Times New Roman" w:eastAsia="Times New Roman" w:hAnsi="Times New Roman" w:cs="Times New Roman"/>
          <w:kern w:val="0"/>
          <w14:ligatures w14:val="none"/>
        </w:rPr>
        <w:t>).</w:t>
      </w:r>
    </w:p>
    <w:p w14:paraId="5B79AB02" w14:textId="11E55253"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Innovative tools like the Disputes Potential Index (DPI) enable predictive analysis of dispute likelihood based on project characteristics such as management quality, complexity, and risk allocation. This tool supports preconstruction readiness and ongoing project monitoring, fostering proactive mitigation strategies (</w:t>
      </w:r>
      <w:hyperlink r:id="rId11" w:history="1">
        <w:r w:rsidRPr="00F25B14">
          <w:rPr>
            <w:rStyle w:val="Hyperlink"/>
            <w:rFonts w:ascii="Times New Roman" w:eastAsia="Times New Roman" w:hAnsi="Times New Roman" w:cs="Times New Roman"/>
            <w:kern w:val="0"/>
            <w14:ligatures w14:val="none"/>
          </w:rPr>
          <w:t>SD-101</w:t>
        </w:r>
      </w:hyperlink>
      <w:r w:rsidRPr="005F6B8F">
        <w:rPr>
          <w:rFonts w:ascii="Times New Roman" w:eastAsia="Times New Roman" w:hAnsi="Times New Roman" w:cs="Times New Roman"/>
          <w:kern w:val="0"/>
          <w14:ligatures w14:val="none"/>
        </w:rPr>
        <w:t>).</w:t>
      </w:r>
    </w:p>
    <w:p w14:paraId="65A25992" w14:textId="77777777"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Key recommendations include:</w:t>
      </w:r>
    </w:p>
    <w:p w14:paraId="20531AD2" w14:textId="77777777" w:rsidR="005F6B8F" w:rsidRPr="005F6B8F" w:rsidRDefault="005F6B8F" w:rsidP="005F6B8F">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b/>
          <w:bCs/>
          <w:kern w:val="0"/>
          <w14:ligatures w14:val="none"/>
        </w:rPr>
        <w:t>Starting Right</w:t>
      </w:r>
      <w:r w:rsidRPr="005F6B8F">
        <w:rPr>
          <w:rFonts w:ascii="Times New Roman" w:eastAsia="Times New Roman" w:hAnsi="Times New Roman" w:cs="Times New Roman"/>
          <w:kern w:val="0"/>
          <w14:ligatures w14:val="none"/>
        </w:rPr>
        <w:t>: Initiate preconstruction strategies like constructability reviews, risk allocation, and inclusion of dispute prevention clauses in contracts. Enhance partnering agreements to align stakeholders toward common goals.</w:t>
      </w:r>
    </w:p>
    <w:p w14:paraId="2F38A988" w14:textId="77777777" w:rsidR="005F6B8F" w:rsidRPr="005F6B8F" w:rsidRDefault="005F6B8F" w:rsidP="005F6B8F">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b/>
          <w:bCs/>
          <w:kern w:val="0"/>
          <w14:ligatures w14:val="none"/>
        </w:rPr>
        <w:t>Staying Right</w:t>
      </w:r>
      <w:r w:rsidRPr="005F6B8F">
        <w:rPr>
          <w:rFonts w:ascii="Times New Roman" w:eastAsia="Times New Roman" w:hAnsi="Times New Roman" w:cs="Times New Roman"/>
          <w:kern w:val="0"/>
          <w14:ligatures w14:val="none"/>
        </w:rPr>
        <w:t>: Foster team building, training, and transparent communication to maintain collaborative project environments. Regular documentation reviews and clear conflict resolution protocols reduce misunderstandings.</w:t>
      </w:r>
    </w:p>
    <w:p w14:paraId="2BCC8593" w14:textId="77777777" w:rsidR="005F6B8F" w:rsidRPr="005F6B8F" w:rsidRDefault="005F6B8F" w:rsidP="005F6B8F">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b/>
          <w:bCs/>
          <w:kern w:val="0"/>
          <w14:ligatures w14:val="none"/>
        </w:rPr>
        <w:t>Providing for Resolution</w:t>
      </w:r>
      <w:r w:rsidRPr="005F6B8F">
        <w:rPr>
          <w:rFonts w:ascii="Times New Roman" w:eastAsia="Times New Roman" w:hAnsi="Times New Roman" w:cs="Times New Roman"/>
          <w:kern w:val="0"/>
          <w14:ligatures w14:val="none"/>
        </w:rPr>
        <w:t>: Implement structured mechanisms such as DRBs, mediation, and arbitration to resolve disputes expediently on-site while keeping project managers actively involved.</w:t>
      </w:r>
    </w:p>
    <w:p w14:paraId="602D1099" w14:textId="5490B25F"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Ultimately, integrating these strategies into project management practices minimizes adversarial interactions, reduces costs, and ensures project continuity, benefiting all stakeholders involved (</w:t>
      </w:r>
      <w:hyperlink r:id="rId12" w:history="1">
        <w:r w:rsidR="00F25B14" w:rsidRPr="00F25B14">
          <w:rPr>
            <w:rStyle w:val="Hyperlink"/>
            <w:rFonts w:ascii="Times New Roman" w:eastAsia="Times New Roman" w:hAnsi="Times New Roman" w:cs="Times New Roman"/>
            <w:kern w:val="0"/>
            <w14:ligatures w14:val="none"/>
          </w:rPr>
          <w:t>RS23-1</w:t>
        </w:r>
      </w:hyperlink>
      <w:r w:rsidRPr="005F6B8F">
        <w:rPr>
          <w:rFonts w:ascii="Times New Roman" w:eastAsia="Times New Roman" w:hAnsi="Times New Roman" w:cs="Times New Roman"/>
          <w:kern w:val="0"/>
          <w14:ligatures w14:val="none"/>
        </w:rPr>
        <w:t xml:space="preserve">; </w:t>
      </w:r>
      <w:hyperlink r:id="rId13" w:history="1">
        <w:r w:rsidR="00F25B14" w:rsidRPr="00F25B14">
          <w:rPr>
            <w:rStyle w:val="Hyperlink"/>
            <w:rFonts w:ascii="Times New Roman" w:eastAsia="Times New Roman" w:hAnsi="Times New Roman" w:cs="Times New Roman"/>
            <w:kern w:val="0"/>
            <w14:ligatures w14:val="none"/>
          </w:rPr>
          <w:t>SD-95</w:t>
        </w:r>
      </w:hyperlink>
      <w:r w:rsidRPr="005F6B8F">
        <w:rPr>
          <w:rFonts w:ascii="Times New Roman" w:eastAsia="Times New Roman" w:hAnsi="Times New Roman" w:cs="Times New Roman"/>
          <w:kern w:val="0"/>
          <w14:ligatures w14:val="none"/>
        </w:rPr>
        <w:t xml:space="preserve">; </w:t>
      </w:r>
      <w:hyperlink r:id="rId14" w:history="1">
        <w:r w:rsidR="00F25B14" w:rsidRPr="00F25B14">
          <w:rPr>
            <w:rStyle w:val="Hyperlink"/>
            <w:rFonts w:ascii="Times New Roman" w:eastAsia="Times New Roman" w:hAnsi="Times New Roman" w:cs="Times New Roman"/>
            <w:kern w:val="0"/>
            <w14:ligatures w14:val="none"/>
          </w:rPr>
          <w:t>SD-101</w:t>
        </w:r>
      </w:hyperlink>
      <w:r w:rsidRPr="005F6B8F">
        <w:rPr>
          <w:rFonts w:ascii="Times New Roman" w:eastAsia="Times New Roman" w:hAnsi="Times New Roman" w:cs="Times New Roman"/>
          <w:kern w:val="0"/>
          <w14:ligatures w14:val="none"/>
        </w:rPr>
        <w:t>).</w:t>
      </w:r>
    </w:p>
    <w:p w14:paraId="119858B7" w14:textId="3D99EC52" w:rsidR="00D556E1" w:rsidRDefault="00D556E1" w:rsidP="00A37ED8">
      <w:pPr>
        <w:pStyle w:val="NormalWeb"/>
      </w:pPr>
    </w:p>
    <w:sectPr w:rsidR="00D556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F93BF" w14:textId="77777777" w:rsidR="0008437B" w:rsidRDefault="0008437B" w:rsidP="009F6396">
      <w:pPr>
        <w:spacing w:after="0" w:line="240" w:lineRule="auto"/>
      </w:pPr>
      <w:r>
        <w:separator/>
      </w:r>
    </w:p>
  </w:endnote>
  <w:endnote w:type="continuationSeparator" w:id="0">
    <w:p w14:paraId="60268EA8" w14:textId="77777777" w:rsidR="0008437B" w:rsidRDefault="0008437B"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7F90C" w14:textId="77777777" w:rsidR="0008437B" w:rsidRDefault="0008437B" w:rsidP="009F6396">
      <w:pPr>
        <w:spacing w:after="0" w:line="240" w:lineRule="auto"/>
      </w:pPr>
      <w:r>
        <w:separator/>
      </w:r>
    </w:p>
  </w:footnote>
  <w:footnote w:type="continuationSeparator" w:id="0">
    <w:p w14:paraId="6F772D4A" w14:textId="77777777" w:rsidR="0008437B" w:rsidRDefault="0008437B"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F2319"/>
    <w:multiLevelType w:val="multilevel"/>
    <w:tmpl w:val="47E8F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4"/>
  </w:num>
  <w:num w:numId="4" w16cid:durableId="642270163">
    <w:abstractNumId w:val="3"/>
  </w:num>
  <w:num w:numId="5" w16cid:durableId="7182138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gFACpasiwtAAAA"/>
  </w:docVars>
  <w:rsids>
    <w:rsidRoot w:val="00B30BC0"/>
    <w:rsid w:val="000374DD"/>
    <w:rsid w:val="0008437B"/>
    <w:rsid w:val="000D3987"/>
    <w:rsid w:val="000F06EE"/>
    <w:rsid w:val="00110278"/>
    <w:rsid w:val="0023691A"/>
    <w:rsid w:val="00251733"/>
    <w:rsid w:val="0027452F"/>
    <w:rsid w:val="002E79E5"/>
    <w:rsid w:val="003A0542"/>
    <w:rsid w:val="003A0A11"/>
    <w:rsid w:val="00484455"/>
    <w:rsid w:val="004B4193"/>
    <w:rsid w:val="004F7312"/>
    <w:rsid w:val="00553CF5"/>
    <w:rsid w:val="005F6B8F"/>
    <w:rsid w:val="0067243C"/>
    <w:rsid w:val="006814FC"/>
    <w:rsid w:val="006F4836"/>
    <w:rsid w:val="00724F7D"/>
    <w:rsid w:val="007769CE"/>
    <w:rsid w:val="007E13D2"/>
    <w:rsid w:val="00814252"/>
    <w:rsid w:val="008921B2"/>
    <w:rsid w:val="008F34F5"/>
    <w:rsid w:val="008F419F"/>
    <w:rsid w:val="0090696E"/>
    <w:rsid w:val="00932096"/>
    <w:rsid w:val="00947E5F"/>
    <w:rsid w:val="009A4F6B"/>
    <w:rsid w:val="009E3CC9"/>
    <w:rsid w:val="009F6396"/>
    <w:rsid w:val="00A37ED8"/>
    <w:rsid w:val="00A445C7"/>
    <w:rsid w:val="00AC41AB"/>
    <w:rsid w:val="00AF7811"/>
    <w:rsid w:val="00B30BC0"/>
    <w:rsid w:val="00B32BE7"/>
    <w:rsid w:val="00B8592A"/>
    <w:rsid w:val="00C62A84"/>
    <w:rsid w:val="00C63CA1"/>
    <w:rsid w:val="00C87D93"/>
    <w:rsid w:val="00D370E9"/>
    <w:rsid w:val="00D556E1"/>
    <w:rsid w:val="00DB7A9E"/>
    <w:rsid w:val="00EF6929"/>
    <w:rsid w:val="00F25B14"/>
    <w:rsid w:val="00F430D0"/>
    <w:rsid w:val="00F70C33"/>
    <w:rsid w:val="00F80A6E"/>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F25B14"/>
    <w:rPr>
      <w:color w:val="467886" w:themeColor="hyperlink"/>
      <w:u w:val="single"/>
    </w:rPr>
  </w:style>
  <w:style w:type="character" w:styleId="UnresolvedMention">
    <w:name w:val="Unresolved Mention"/>
    <w:basedOn w:val="DefaultParagraphFont"/>
    <w:uiPriority w:val="99"/>
    <w:semiHidden/>
    <w:unhideWhenUsed/>
    <w:rsid w:val="00F25B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89565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dispute-prevention-and-resolution" TargetMode="External"/><Relationship Id="rId13" Type="http://schemas.openxmlformats.org/officeDocument/2006/relationships/hyperlink" Target="https://www.construction-institute.org/dispute-prevention-and-resolution" TargetMode="External"/><Relationship Id="rId3" Type="http://schemas.openxmlformats.org/officeDocument/2006/relationships/settings" Target="settings.xml"/><Relationship Id="rId7" Type="http://schemas.openxmlformats.org/officeDocument/2006/relationships/hyperlink" Target="https://www.construction-institute.org/disputes-prevention-and-resolution-techniques-in-the-construction-industry" TargetMode="External"/><Relationship Id="rId12" Type="http://schemas.openxmlformats.org/officeDocument/2006/relationships/hyperlink" Target="https://www.construction-institute.org/disputes-prevention-and-resolution-techniques-in-the-construction-industr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dpi-dispute-potential-index-a-study-into-the-predictability-of-contract-disput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onstruction-institute.org/dispute-prevention-and-resolution" TargetMode="External"/><Relationship Id="rId4" Type="http://schemas.openxmlformats.org/officeDocument/2006/relationships/webSettings" Target="webSettings.xml"/><Relationship Id="rId9" Type="http://schemas.openxmlformats.org/officeDocument/2006/relationships/hyperlink" Target="https://www.construction-institute.org/dispute-prevention-and-resolution" TargetMode="External"/><Relationship Id="rId14" Type="http://schemas.openxmlformats.org/officeDocument/2006/relationships/hyperlink" Target="https://www.construction-institute.org/dpi-dispute-potential-index-a-study-into-the-predictability-of-contract-dispu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300</Words>
  <Characters>3111</Characters>
  <Application>Microsoft Office Word</Application>
  <DocSecurity>0</DocSecurity>
  <Lines>47</Lines>
  <Paragraphs>16</Paragraphs>
  <ScaleCrop>false</ScaleCrop>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23</cp:revision>
  <dcterms:created xsi:type="dcterms:W3CDTF">2024-11-05T22:07:00Z</dcterms:created>
  <dcterms:modified xsi:type="dcterms:W3CDTF">2025-02-22T16:38:00Z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c622a338d3d1be625e49042f55047e5771acf9611a3214cd98c15f28a7c7514d</vt:lpwstr>
  </property>
</Properties>
</file>